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96" w:rsidRDefault="0064448B">
      <w:r>
        <w:rPr>
          <w:noProof/>
        </w:rPr>
        <w:drawing>
          <wp:inline distT="0" distB="0" distL="0" distR="0" wp14:anchorId="5805B6C4" wp14:editId="6032DEF0">
            <wp:extent cx="7772400" cy="2628900"/>
            <wp:effectExtent l="0" t="0" r="0" b="0"/>
            <wp:docPr id="1348164575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64575" name="Picture 1" descr="A picture containing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E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01BE" wp14:editId="6C7C5310">
                <wp:simplePos x="0" y="0"/>
                <wp:positionH relativeFrom="column">
                  <wp:posOffset>546100</wp:posOffset>
                </wp:positionH>
                <wp:positionV relativeFrom="paragraph">
                  <wp:posOffset>2908300</wp:posOffset>
                </wp:positionV>
                <wp:extent cx="6680200" cy="665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665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AEA" w:rsidRPr="00BE70E2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AGENDA</w:t>
                            </w:r>
                          </w:p>
                          <w:p w:rsidR="00356AEA" w:rsidRPr="00BE70E2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Wednesday, June 12, 2024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E70E2">
                              <w:rPr>
                                <w:b/>
                                <w:sz w:val="32"/>
                              </w:rPr>
                              <w:t>1:30 p.m. -- 1021 O Street, Room 2100</w:t>
                            </w:r>
                          </w:p>
                          <w:p w:rsidR="00356A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356AEA" w:rsidRPr="004C6BEA" w:rsidRDefault="00356AEA" w:rsidP="00356AEA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MEASURE</w:t>
                            </w:r>
                            <w:r w:rsidRPr="004C6BEA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ON PROPOSED CONSENT</w:t>
                            </w:r>
                          </w:p>
                          <w:p w:rsidR="00356AEA" w:rsidRDefault="00356AEA" w:rsidP="00356AEA"/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1171"/>
                              <w:gridCol w:w="2110"/>
                              <w:gridCol w:w="2139"/>
                              <w:gridCol w:w="3281"/>
                            </w:tblGrid>
                            <w:tr w:rsidR="00356AEA" w:rsidTr="003F680F">
                              <w:trPr>
                                <w:gridAfter w:val="1"/>
                                <w:wAfter w:w="3221" w:type="dxa"/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5380" w:type="dxa"/>
                                  <w:gridSpan w:val="3"/>
                                </w:tcPr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Pr="004515D5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4515D5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Pr="004515D5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4515D5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AB 1844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Pr="004515D5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4515D5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Calderon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gridSpan w:val="2"/>
                                </w:tcPr>
                                <w:p w:rsidR="00356AEA" w:rsidRDefault="00356AEA" w:rsidP="00356AEA">
                                  <w:pPr>
                                    <w:rPr>
                                      <w:rFonts w:ascii="Arial" w:hAnsi="Arial"/>
                                      <w:strike/>
                                      <w:color w:val="000000"/>
                                      <w:sz w:val="20"/>
                                    </w:rPr>
                                  </w:pPr>
                                  <w:r w:rsidRPr="004515D5">
                                    <w:rPr>
                                      <w:rFonts w:ascii="Arial" w:hAnsi="Arial"/>
                                      <w:strike/>
                                      <w:color w:val="000000"/>
                                      <w:sz w:val="20"/>
                                    </w:rPr>
                                    <w:t>California FAIR Plan Association governing committee.</w:t>
                                  </w:r>
                                </w:p>
                                <w:p w:rsidR="004515D5" w:rsidRPr="004515D5" w:rsidRDefault="004515D5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  <w:r w:rsidRPr="004515D5"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  <w:t>(Committee Pull)</w:t>
                                  </w:r>
                                </w:p>
                                <w:p w:rsidR="00356AEA" w:rsidRPr="004515D5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9280" w:type="dxa"/>
                                  <w:gridSpan w:val="5"/>
                                </w:tcPr>
                                <w:p w:rsidR="00356AEA" w:rsidRPr="004C6BEA" w:rsidRDefault="00356AEA" w:rsidP="00356AEA">
                                  <w:pP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7"/>
                                      <w:u w:val="single"/>
                                    </w:rPr>
                                  </w:pPr>
                                </w:p>
                                <w:p w:rsidR="00356AEA" w:rsidRDefault="00356AEA" w:rsidP="00356A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7"/>
                                      <w:u w:val="single"/>
                                    </w:rPr>
                                    <w:t>MEASURES HEARD IN FILE ORDER</w:t>
                                  </w:r>
                                </w:p>
                              </w:tc>
                            </w:tr>
                          </w:tbl>
                          <w:p w:rsidR="00356AEA" w:rsidRDefault="00356AEA" w:rsidP="00356AEA"/>
                          <w:tbl>
                            <w:tblPr>
                              <w:tblW w:w="0" w:type="auto"/>
                              <w:tblCellSpacing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1171"/>
                              <w:gridCol w:w="2110"/>
                              <w:gridCol w:w="5420"/>
                            </w:tblGrid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/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1505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Rodriguez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California Earthquake Authority: </w:t>
                                  </w:r>
                                  <w:r w:rsidR="004C68F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losed </w:t>
                                  </w:r>
                                  <w:r w:rsidR="004C68F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eetings.</w:t>
                                  </w:r>
                                </w:p>
                                <w:p w:rsidR="00356AEA" w:rsidRDefault="00356AEA" w:rsidP="00356AEA"/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AB 2416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 xml:space="preserve">Connolly 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C6317" w:rsidRDefault="00356AEA" w:rsidP="00356AEA">
                                  <w:pPr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</w:pPr>
                                  <w:r w:rsidRPr="00A74B7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>Residential property insurance: wildfire risk.</w:t>
                                  </w:r>
                                  <w:r w:rsidR="003C6317">
                                    <w:rPr>
                                      <w:rFonts w:ascii="Arial" w:hAnsi="Arial"/>
                                      <w:strike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356AEA" w:rsidRPr="003C6317" w:rsidRDefault="003C6317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 w:rsidRPr="003C6317">
                                    <w:rPr>
                                      <w:rFonts w:ascii="Arial" w:hAnsi="Arial"/>
                                      <w:color w:val="000000"/>
                                    </w:rPr>
                                    <w:t>(Author Pull)</w:t>
                                  </w:r>
                                </w:p>
                                <w:p w:rsidR="00356AEA" w:rsidRPr="00A74B77" w:rsidRDefault="00356AEA" w:rsidP="00356AEA">
                                  <w:pPr>
                                    <w:rPr>
                                      <w:strike/>
                                    </w:rPr>
                                  </w:pPr>
                                </w:p>
                              </w:tc>
                            </w:tr>
                            <w:tr w:rsidR="00356AEA" w:rsidTr="003F680F">
                              <w:trPr>
                                <w:cantSplit/>
                                <w:tblCellSpacing w:w="20" w:type="dxa"/>
                              </w:trPr>
                              <w:tc>
                                <w:tcPr>
                                  <w:tcW w:w="599" w:type="dxa"/>
                                </w:tcPr>
                                <w:p w:rsidR="00356AEA" w:rsidRDefault="00A74B77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2</w:t>
                                  </w:r>
                                  <w:r w:rsidR="00356AEA">
                                    <w:rPr>
                                      <w:rFonts w:ascii="Arial" w:hAnsi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AB 2743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356AEA" w:rsidRDefault="00356AEA" w:rsidP="00356AEA"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Pacheco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 w:rsidR="00356AEA" w:rsidRDefault="00356AEA" w:rsidP="00356AEA">
                                  <w:pPr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Insurance: personal vehicle sharing.</w:t>
                                  </w:r>
                                </w:p>
                                <w:p w:rsidR="00356AEA" w:rsidRDefault="00356AEA" w:rsidP="00356AEA"/>
                              </w:tc>
                            </w:tr>
                          </w:tbl>
                          <w:p w:rsidR="00F92E2D" w:rsidRDefault="00F92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50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229pt;width:526pt;height:5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" filled="f" stroked="f" strokeweight=".5pt">
                <v:textbox>
                  <w:txbxContent>
                    <w:p w:rsidR="00356AEA" w:rsidRPr="00BE70E2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AGENDA</w:t>
                      </w:r>
                    </w:p>
                    <w:p w:rsidR="00356AEA" w:rsidRPr="00BE70E2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Wednesday, June 12, 2024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E70E2">
                        <w:rPr>
                          <w:b/>
                          <w:sz w:val="32"/>
                        </w:rPr>
                        <w:t>1:30 p.m. -- 1021 O Street, Room 2100</w:t>
                      </w:r>
                    </w:p>
                    <w:p w:rsidR="00356AEA" w:rsidRDefault="00356AEA" w:rsidP="00356AEA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356AEA" w:rsidRPr="004C6BEA" w:rsidRDefault="00356AEA" w:rsidP="00356AEA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MEASURE</w:t>
                      </w:r>
                      <w:r w:rsidRPr="004C6BEA">
                        <w:rPr>
                          <w:b/>
                          <w:sz w:val="32"/>
                          <w:u w:val="single"/>
                        </w:rPr>
                        <w:t xml:space="preserve"> ON PROPOSED CONSENT</w:t>
                      </w:r>
                    </w:p>
                    <w:p w:rsidR="00356AEA" w:rsidRDefault="00356AEA" w:rsidP="00356AEA"/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1171"/>
                        <w:gridCol w:w="2110"/>
                        <w:gridCol w:w="2139"/>
                        <w:gridCol w:w="3281"/>
                      </w:tblGrid>
                      <w:tr w:rsidR="00356AEA" w:rsidTr="003F680F">
                        <w:trPr>
                          <w:gridAfter w:val="1"/>
                          <w:wAfter w:w="3221" w:type="dxa"/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5380" w:type="dxa"/>
                            <w:gridSpan w:val="3"/>
                          </w:tcPr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Pr="004515D5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4515D5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Pr="004515D5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4515D5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AB 1844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Pr="004515D5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4515D5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Calderon</w:t>
                            </w:r>
                          </w:p>
                        </w:tc>
                        <w:tc>
                          <w:tcPr>
                            <w:tcW w:w="5360" w:type="dxa"/>
                            <w:gridSpan w:val="2"/>
                          </w:tcPr>
                          <w:p w:rsidR="00356AEA" w:rsidRDefault="00356AEA" w:rsidP="00356AEA">
                            <w:pPr>
                              <w:rPr>
                                <w:rFonts w:ascii="Arial" w:hAnsi="Arial"/>
                                <w:strike/>
                                <w:color w:val="000000"/>
                                <w:sz w:val="20"/>
                              </w:rPr>
                            </w:pPr>
                            <w:r w:rsidRPr="004515D5">
                              <w:rPr>
                                <w:rFonts w:ascii="Arial" w:hAnsi="Arial"/>
                                <w:strike/>
                                <w:color w:val="000000"/>
                                <w:sz w:val="20"/>
                              </w:rPr>
                              <w:t>California FAIR Plan Association governing committee.</w:t>
                            </w:r>
                          </w:p>
                          <w:p w:rsidR="004515D5" w:rsidRPr="004515D5" w:rsidRDefault="004515D5" w:rsidP="00356AE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 w:rsidRPr="004515D5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(Committee Pull)</w:t>
                            </w:r>
                          </w:p>
                          <w:p w:rsidR="00356AEA" w:rsidRPr="004515D5" w:rsidRDefault="00356AEA" w:rsidP="00356AEA">
                            <w:pPr>
                              <w:rPr>
                                <w:strike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9280" w:type="dxa"/>
                            <w:gridSpan w:val="5"/>
                          </w:tcPr>
                          <w:p w:rsidR="00356AEA" w:rsidRPr="004C6BEA" w:rsidRDefault="00356AEA" w:rsidP="00356AE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  <w:u w:val="single"/>
                              </w:rPr>
                            </w:pPr>
                          </w:p>
                          <w:p w:rsidR="00356AEA" w:rsidRDefault="00356AEA" w:rsidP="00356AE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  <w:u w:val="single"/>
                              </w:rPr>
                              <w:t>MEASURES HEARD IN FILE ORDER</w:t>
                            </w:r>
                          </w:p>
                        </w:tc>
                      </w:tr>
                    </w:tbl>
                    <w:p w:rsidR="00356AEA" w:rsidRDefault="00356AEA" w:rsidP="00356AEA"/>
                    <w:tbl>
                      <w:tblPr>
                        <w:tblW w:w="0" w:type="auto"/>
                        <w:tblCellSpacing w:w="20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1171"/>
                        <w:gridCol w:w="2110"/>
                        <w:gridCol w:w="5420"/>
                      </w:tblGrid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/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AB 1505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Rodriguez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California Earthquake Authority: </w:t>
                            </w:r>
                            <w:r w:rsidR="004C68F7">
                              <w:rPr>
                                <w:rFonts w:ascii="Arial" w:hAnsi="Arial"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losed </w:t>
                            </w:r>
                            <w:r w:rsidR="004C68F7">
                              <w:rPr>
                                <w:rFonts w:ascii="Arial" w:hAnsi="Arial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eetings.</w:t>
                            </w:r>
                          </w:p>
                          <w:p w:rsidR="00356AEA" w:rsidRDefault="00356AEA" w:rsidP="00356AEA"/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AB 2416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 xml:space="preserve">Connolly 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C6317" w:rsidRDefault="00356AEA" w:rsidP="00356AEA">
                            <w:pPr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</w:pPr>
                            <w:r w:rsidRPr="00A74B7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>Residential property insurance: wildfire risk.</w:t>
                            </w:r>
                            <w:r w:rsidR="003C6317">
                              <w:rPr>
                                <w:rFonts w:ascii="Arial" w:hAnsi="Arial"/>
                                <w:strike/>
                                <w:color w:val="000000"/>
                              </w:rPr>
                              <w:t xml:space="preserve"> </w:t>
                            </w:r>
                          </w:p>
                          <w:p w:rsidR="00356AEA" w:rsidRPr="003C6317" w:rsidRDefault="003C6317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3C6317">
                              <w:rPr>
                                <w:rFonts w:ascii="Arial" w:hAnsi="Arial"/>
                                <w:color w:val="000000"/>
                              </w:rPr>
                              <w:t>(Author Pull)</w:t>
                            </w:r>
                          </w:p>
                          <w:p w:rsidR="00356AEA" w:rsidRPr="00A74B77" w:rsidRDefault="00356AEA" w:rsidP="00356AEA">
                            <w:pPr>
                              <w:rPr>
                                <w:strike/>
                              </w:rPr>
                            </w:pPr>
                          </w:p>
                        </w:tc>
                      </w:tr>
                      <w:tr w:rsidR="00356AEA" w:rsidTr="003F680F">
                        <w:trPr>
                          <w:cantSplit/>
                          <w:tblCellSpacing w:w="20" w:type="dxa"/>
                        </w:trPr>
                        <w:tc>
                          <w:tcPr>
                            <w:tcW w:w="599" w:type="dxa"/>
                          </w:tcPr>
                          <w:p w:rsidR="00356AEA" w:rsidRDefault="00A74B77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2</w:t>
                            </w:r>
                            <w:r w:rsidR="00356AEA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AB 2743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356AEA" w:rsidRDefault="00356AEA" w:rsidP="00356AEA"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Pacheco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 w:rsidR="00356AEA" w:rsidRDefault="00356AEA" w:rsidP="00356AE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Insurance: personal vehicle sharing.</w:t>
                            </w:r>
                          </w:p>
                          <w:p w:rsidR="00356AEA" w:rsidRDefault="00356AEA" w:rsidP="00356AEA"/>
                        </w:tc>
                      </w:tr>
                    </w:tbl>
                    <w:p w:rsidR="00F92E2D" w:rsidRDefault="00F92E2D"/>
                  </w:txbxContent>
                </v:textbox>
              </v:shape>
            </w:pict>
          </mc:Fallback>
        </mc:AlternateContent>
      </w:r>
    </w:p>
    <w:sectPr w:rsidR="00E73296" w:rsidSect="00120E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A"/>
    <w:rsid w:val="00074572"/>
    <w:rsid w:val="001008A3"/>
    <w:rsid w:val="0011015A"/>
    <w:rsid w:val="00120E6D"/>
    <w:rsid w:val="00176F0F"/>
    <w:rsid w:val="001F6B2C"/>
    <w:rsid w:val="00233029"/>
    <w:rsid w:val="002623A9"/>
    <w:rsid w:val="002C3EAA"/>
    <w:rsid w:val="002F1B56"/>
    <w:rsid w:val="00356AEA"/>
    <w:rsid w:val="003C6317"/>
    <w:rsid w:val="003C681E"/>
    <w:rsid w:val="003F653A"/>
    <w:rsid w:val="004515D5"/>
    <w:rsid w:val="00482488"/>
    <w:rsid w:val="00483944"/>
    <w:rsid w:val="00497069"/>
    <w:rsid w:val="004C68F7"/>
    <w:rsid w:val="00500E41"/>
    <w:rsid w:val="00566DEA"/>
    <w:rsid w:val="00593D61"/>
    <w:rsid w:val="0064448B"/>
    <w:rsid w:val="00666B31"/>
    <w:rsid w:val="006B095D"/>
    <w:rsid w:val="007467B9"/>
    <w:rsid w:val="00765BE6"/>
    <w:rsid w:val="00817E05"/>
    <w:rsid w:val="00825A86"/>
    <w:rsid w:val="009135C0"/>
    <w:rsid w:val="0094057B"/>
    <w:rsid w:val="009716D7"/>
    <w:rsid w:val="009B74C2"/>
    <w:rsid w:val="009D69A8"/>
    <w:rsid w:val="00A65DCC"/>
    <w:rsid w:val="00A74B77"/>
    <w:rsid w:val="00AE33AB"/>
    <w:rsid w:val="00B84492"/>
    <w:rsid w:val="00C001EB"/>
    <w:rsid w:val="00C649BF"/>
    <w:rsid w:val="00D00A9D"/>
    <w:rsid w:val="00D304D8"/>
    <w:rsid w:val="00D73612"/>
    <w:rsid w:val="00E73296"/>
    <w:rsid w:val="00E75819"/>
    <w:rsid w:val="00F26960"/>
    <w:rsid w:val="00F63475"/>
    <w:rsid w:val="00F92E2D"/>
    <w:rsid w:val="00FB5B2F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26A"/>
  <w14:defaultImageDpi w14:val="32767"/>
  <w15:chartTrackingRefBased/>
  <w15:docId w15:val="{DBF2D443-247E-48DC-A099-371F450C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EA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INS\2024%20Letterhead%20with%20J&amp;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Letterhead with J&amp;K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Kaitlyn</dc:creator>
  <cp:keywords/>
  <dc:description/>
  <cp:lastModifiedBy>Preston, Kaitlyn</cp:lastModifiedBy>
  <cp:revision>6</cp:revision>
  <dcterms:created xsi:type="dcterms:W3CDTF">2024-06-06T16:37:00Z</dcterms:created>
  <dcterms:modified xsi:type="dcterms:W3CDTF">2024-06-11T19:20:00Z</dcterms:modified>
</cp:coreProperties>
</file>